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125" w:rsidRPr="004B2606" w:rsidRDefault="00111125" w:rsidP="00111125">
      <w:pPr>
        <w:widowControl w:val="0"/>
        <w:autoSpaceDE w:val="0"/>
        <w:autoSpaceDN w:val="0"/>
        <w:adjustRightInd w:val="0"/>
        <w:jc w:val="center"/>
        <w:rPr>
          <w:b/>
          <w:sz w:val="28"/>
          <w:szCs w:val="28"/>
        </w:rPr>
      </w:pPr>
      <w:r w:rsidRPr="004B2606">
        <w:rPr>
          <w:b/>
          <w:sz w:val="28"/>
          <w:szCs w:val="28"/>
        </w:rPr>
        <w:t>Информация</w:t>
      </w:r>
    </w:p>
    <w:p w:rsidR="00111125" w:rsidRPr="004B2606" w:rsidRDefault="00111125" w:rsidP="00111125">
      <w:pPr>
        <w:jc w:val="center"/>
        <w:rPr>
          <w:b/>
          <w:sz w:val="28"/>
          <w:szCs w:val="28"/>
        </w:rPr>
      </w:pPr>
      <w:r w:rsidRPr="004B2606">
        <w:rPr>
          <w:b/>
          <w:sz w:val="28"/>
          <w:szCs w:val="28"/>
        </w:rPr>
        <w:t xml:space="preserve">о проведении эмиссии эмиссионных ценных бумаг </w:t>
      </w:r>
    </w:p>
    <w:p w:rsidR="00111125" w:rsidRDefault="00111125" w:rsidP="004B260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5580"/>
      </w:tblGrid>
      <w:tr w:rsidR="00111125" w:rsidTr="00D763BD">
        <w:tc>
          <w:tcPr>
            <w:tcW w:w="4968" w:type="dxa"/>
            <w:shd w:val="clear" w:color="auto" w:fill="auto"/>
          </w:tcPr>
          <w:p w:rsidR="00111125" w:rsidRPr="00664D97" w:rsidRDefault="00111125" w:rsidP="00263C42">
            <w:pPr>
              <w:widowControl w:val="0"/>
              <w:autoSpaceDE w:val="0"/>
              <w:autoSpaceDN w:val="0"/>
              <w:adjustRightInd w:val="0"/>
              <w:jc w:val="both"/>
            </w:pPr>
            <w:r w:rsidRPr="00664D97">
              <w:t>Полное наименование акционерного общества</w:t>
            </w:r>
          </w:p>
        </w:tc>
        <w:tc>
          <w:tcPr>
            <w:tcW w:w="5580" w:type="dxa"/>
            <w:shd w:val="clear" w:color="auto" w:fill="auto"/>
          </w:tcPr>
          <w:p w:rsidR="00111125" w:rsidRDefault="009B6CFA" w:rsidP="00263C42">
            <w:pPr>
              <w:tabs>
                <w:tab w:val="left" w:pos="3630"/>
              </w:tabs>
              <w:jc w:val="both"/>
            </w:pPr>
            <w:r>
              <w:t>Открытое акционерное общество «Курополье-агро»</w:t>
            </w:r>
          </w:p>
        </w:tc>
      </w:tr>
      <w:tr w:rsidR="00111125" w:rsidTr="00D763BD">
        <w:tc>
          <w:tcPr>
            <w:tcW w:w="4968" w:type="dxa"/>
            <w:shd w:val="clear" w:color="auto" w:fill="auto"/>
          </w:tcPr>
          <w:p w:rsidR="00111125" w:rsidRPr="00664D97" w:rsidRDefault="00111125" w:rsidP="00263C42">
            <w:pPr>
              <w:widowControl w:val="0"/>
              <w:autoSpaceDE w:val="0"/>
              <w:autoSpaceDN w:val="0"/>
              <w:adjustRightInd w:val="0"/>
              <w:jc w:val="both"/>
            </w:pPr>
            <w:r w:rsidRPr="00664D97">
              <w:t>Местонахождение акционерного общества</w:t>
            </w:r>
          </w:p>
        </w:tc>
        <w:tc>
          <w:tcPr>
            <w:tcW w:w="5580" w:type="dxa"/>
            <w:shd w:val="clear" w:color="auto" w:fill="auto"/>
          </w:tcPr>
          <w:p w:rsidR="00111125" w:rsidRDefault="009B6CFA" w:rsidP="009B6CFA">
            <w:pPr>
              <w:tabs>
                <w:tab w:val="left" w:pos="3630"/>
              </w:tabs>
              <w:jc w:val="both"/>
            </w:pPr>
            <w:r>
              <w:t>Витебская область, Поставский район, аг.Курополье, ул.Октябрьская, 42</w:t>
            </w:r>
          </w:p>
        </w:tc>
      </w:tr>
      <w:tr w:rsidR="00111125" w:rsidTr="00D763BD">
        <w:tc>
          <w:tcPr>
            <w:tcW w:w="4968" w:type="dxa"/>
            <w:shd w:val="clear" w:color="auto" w:fill="auto"/>
          </w:tcPr>
          <w:p w:rsidR="00111125" w:rsidRPr="00664D97" w:rsidRDefault="00111125" w:rsidP="00263C42">
            <w:pPr>
              <w:jc w:val="both"/>
            </w:pPr>
            <w:r w:rsidRPr="00664D97">
              <w:t xml:space="preserve">Дата и № протокола общего собрания акционеров, принявшего решение о проведении эмиссии акций </w:t>
            </w:r>
            <w:r w:rsidR="006903C8" w:rsidRPr="00664D97">
              <w:t>дополнительного выпуска</w:t>
            </w:r>
          </w:p>
        </w:tc>
        <w:tc>
          <w:tcPr>
            <w:tcW w:w="5580" w:type="dxa"/>
            <w:shd w:val="clear" w:color="auto" w:fill="auto"/>
          </w:tcPr>
          <w:p w:rsidR="00111125" w:rsidRDefault="009B6CFA" w:rsidP="00263C42">
            <w:pPr>
              <w:tabs>
                <w:tab w:val="left" w:pos="3630"/>
              </w:tabs>
              <w:jc w:val="both"/>
            </w:pPr>
            <w:r>
              <w:t>04.09.2024</w:t>
            </w:r>
            <w:r w:rsidR="00AE567E">
              <w:t>,</w:t>
            </w:r>
            <w:r>
              <w:t xml:space="preserve"> </w:t>
            </w:r>
            <w:r w:rsidR="00AE567E">
              <w:t xml:space="preserve">Протокол внеочередного общего собрания </w:t>
            </w:r>
            <w:r>
              <w:t xml:space="preserve">№1 </w:t>
            </w:r>
          </w:p>
        </w:tc>
      </w:tr>
      <w:tr w:rsidR="006903C8" w:rsidTr="00D763BD">
        <w:tc>
          <w:tcPr>
            <w:tcW w:w="4968" w:type="dxa"/>
            <w:shd w:val="clear" w:color="auto" w:fill="auto"/>
          </w:tcPr>
          <w:p w:rsidR="006903C8" w:rsidRPr="00664D97" w:rsidRDefault="008F4724" w:rsidP="00263C42">
            <w:pPr>
              <w:pStyle w:val="newncpi"/>
              <w:ind w:firstLine="0"/>
            </w:pPr>
            <w:r w:rsidRPr="00664D97">
              <w:t>Основные цели эмиссии и направления использования средств, полученных в результате проведения подписки</w:t>
            </w:r>
            <w:r w:rsidR="008D2575" w:rsidRPr="00664D97">
              <w:t xml:space="preserve"> на акции</w:t>
            </w:r>
          </w:p>
        </w:tc>
        <w:tc>
          <w:tcPr>
            <w:tcW w:w="5580" w:type="dxa"/>
            <w:shd w:val="clear" w:color="auto" w:fill="auto"/>
          </w:tcPr>
          <w:p w:rsidR="006903C8" w:rsidRDefault="009B6CFA" w:rsidP="00263C42">
            <w:pPr>
              <w:tabs>
                <w:tab w:val="left" w:pos="3630"/>
              </w:tabs>
              <w:jc w:val="both"/>
            </w:pPr>
            <w:r>
              <w:t xml:space="preserve">Увеличение уставного фонда с целью завершения реконструкции в 2024 году молочно-товарной фермы «Курополье» </w:t>
            </w:r>
          </w:p>
        </w:tc>
      </w:tr>
      <w:tr w:rsidR="008D2575" w:rsidTr="00D763BD">
        <w:tc>
          <w:tcPr>
            <w:tcW w:w="4968" w:type="dxa"/>
            <w:shd w:val="clear" w:color="auto" w:fill="auto"/>
          </w:tcPr>
          <w:p w:rsidR="008D2575" w:rsidRPr="00664D97" w:rsidRDefault="008D2575" w:rsidP="00263C42">
            <w:pPr>
              <w:pStyle w:val="newncpi"/>
              <w:ind w:firstLine="0"/>
            </w:pPr>
            <w:r w:rsidRPr="00664D97">
              <w:t xml:space="preserve">Планируемый объем </w:t>
            </w:r>
            <w:r w:rsidR="007B5CA3" w:rsidRPr="004C48B4">
              <w:t>дополнительного выпуска</w:t>
            </w:r>
            <w:r w:rsidR="007B5CA3" w:rsidRPr="00664D97">
              <w:t xml:space="preserve"> акций</w:t>
            </w:r>
          </w:p>
        </w:tc>
        <w:tc>
          <w:tcPr>
            <w:tcW w:w="5580" w:type="dxa"/>
            <w:shd w:val="clear" w:color="auto" w:fill="auto"/>
          </w:tcPr>
          <w:p w:rsidR="008D2575" w:rsidRDefault="009B6CFA" w:rsidP="00263C42">
            <w:pPr>
              <w:tabs>
                <w:tab w:val="left" w:pos="3630"/>
              </w:tabs>
              <w:jc w:val="both"/>
            </w:pPr>
            <w:r>
              <w:t>4 000 000,40 белорусских рублей</w:t>
            </w:r>
          </w:p>
        </w:tc>
      </w:tr>
      <w:tr w:rsidR="006903C8" w:rsidTr="00D763BD">
        <w:tc>
          <w:tcPr>
            <w:tcW w:w="4968" w:type="dxa"/>
            <w:shd w:val="clear" w:color="auto" w:fill="auto"/>
          </w:tcPr>
          <w:p w:rsidR="008D2575" w:rsidRPr="00664D97" w:rsidRDefault="006903C8" w:rsidP="00263C42">
            <w:pPr>
              <w:tabs>
                <w:tab w:val="left" w:pos="3630"/>
              </w:tabs>
              <w:jc w:val="both"/>
            </w:pPr>
            <w:r w:rsidRPr="00664D97">
              <w:t>Количество</w:t>
            </w:r>
            <w:r w:rsidR="008D2575" w:rsidRPr="00664D97">
              <w:t xml:space="preserve"> и</w:t>
            </w:r>
            <w:r w:rsidRPr="00664D97">
              <w:t xml:space="preserve"> категории акций дополнительного выпуска</w:t>
            </w:r>
            <w:r w:rsidR="008D2575" w:rsidRPr="00664D97">
              <w:t xml:space="preserve">, размещаемых путем проведения </w:t>
            </w:r>
            <w:r w:rsidR="00B65C10" w:rsidRPr="004C48B4">
              <w:t>закрытой</w:t>
            </w:r>
            <w:r w:rsidR="004C48B4" w:rsidRPr="004C48B4">
              <w:t xml:space="preserve"> (</w:t>
            </w:r>
            <w:r w:rsidR="004C48B4">
              <w:t>открытой</w:t>
            </w:r>
            <w:r w:rsidR="004C48B4" w:rsidRPr="004C48B4">
              <w:t>)</w:t>
            </w:r>
            <w:r w:rsidR="00B65C10" w:rsidRPr="00664D97">
              <w:t xml:space="preserve"> </w:t>
            </w:r>
            <w:r w:rsidR="008D2575" w:rsidRPr="00664D97">
              <w:t>подписки на акции</w:t>
            </w:r>
          </w:p>
        </w:tc>
        <w:tc>
          <w:tcPr>
            <w:tcW w:w="5580" w:type="dxa"/>
            <w:shd w:val="clear" w:color="auto" w:fill="auto"/>
          </w:tcPr>
          <w:p w:rsidR="006903C8" w:rsidRDefault="009B6CFA" w:rsidP="00AE567E">
            <w:pPr>
              <w:tabs>
                <w:tab w:val="left" w:pos="3630"/>
              </w:tabs>
              <w:jc w:val="both"/>
            </w:pPr>
            <w:r>
              <w:t xml:space="preserve">9 090 910 штук </w:t>
            </w:r>
            <w:r w:rsidRPr="00AE567E">
              <w:t>простых (обыкновенных) акций</w:t>
            </w:r>
            <w:r w:rsidR="00AE567E">
              <w:t xml:space="preserve">, </w:t>
            </w:r>
            <w:r w:rsidR="00AE567E" w:rsidRPr="00664D97">
              <w:t xml:space="preserve">размещаемых путем проведения </w:t>
            </w:r>
            <w:r w:rsidR="00AE567E" w:rsidRPr="004C48B4">
              <w:t>закрытой</w:t>
            </w:r>
            <w:r w:rsidR="00AE567E">
              <w:t xml:space="preserve"> подписки на акции</w:t>
            </w:r>
          </w:p>
        </w:tc>
      </w:tr>
      <w:tr w:rsidR="0027336F" w:rsidTr="00D763BD">
        <w:tc>
          <w:tcPr>
            <w:tcW w:w="4968" w:type="dxa"/>
            <w:shd w:val="clear" w:color="auto" w:fill="auto"/>
          </w:tcPr>
          <w:p w:rsidR="00B65C10" w:rsidRPr="00664D97" w:rsidRDefault="0027336F" w:rsidP="00B65C10">
            <w:pPr>
              <w:pStyle w:val="newncpi"/>
              <w:ind w:firstLine="0"/>
            </w:pPr>
            <w:r w:rsidRPr="00664D97">
              <w:t>Номинальная стоимость одной акции</w:t>
            </w:r>
            <w:r w:rsidR="00B65C10" w:rsidRPr="00664D97">
              <w:t xml:space="preserve"> </w:t>
            </w:r>
          </w:p>
        </w:tc>
        <w:tc>
          <w:tcPr>
            <w:tcW w:w="5580" w:type="dxa"/>
            <w:shd w:val="clear" w:color="auto" w:fill="auto"/>
          </w:tcPr>
          <w:p w:rsidR="0027336F" w:rsidRDefault="00445B3C" w:rsidP="00263C42">
            <w:pPr>
              <w:tabs>
                <w:tab w:val="left" w:pos="3630"/>
              </w:tabs>
              <w:jc w:val="both"/>
            </w:pPr>
            <w:r>
              <w:t>0, 44 (</w:t>
            </w:r>
            <w:r w:rsidR="00AE567E">
              <w:t>44 копейки) белорусских рублей</w:t>
            </w:r>
          </w:p>
        </w:tc>
      </w:tr>
      <w:tr w:rsidR="00B65C10" w:rsidTr="00D763BD">
        <w:tc>
          <w:tcPr>
            <w:tcW w:w="4968" w:type="dxa"/>
            <w:shd w:val="clear" w:color="auto" w:fill="auto"/>
          </w:tcPr>
          <w:p w:rsidR="00B65C10" w:rsidRPr="00664D97" w:rsidRDefault="00B65C10" w:rsidP="004B6832">
            <w:pPr>
              <w:pStyle w:val="newncpi"/>
              <w:ind w:firstLine="0"/>
            </w:pPr>
            <w:r w:rsidRPr="00664D97">
              <w:t>Порядок расчета и выплаты дивидендов по акциям</w:t>
            </w:r>
          </w:p>
        </w:tc>
        <w:tc>
          <w:tcPr>
            <w:tcW w:w="5580" w:type="dxa"/>
            <w:shd w:val="clear" w:color="auto" w:fill="auto"/>
          </w:tcPr>
          <w:p w:rsidR="00445B3C" w:rsidRPr="00445B3C" w:rsidRDefault="00445B3C" w:rsidP="00445B3C">
            <w:pPr>
              <w:tabs>
                <w:tab w:val="left" w:pos="3630"/>
              </w:tabs>
              <w:jc w:val="both"/>
            </w:pPr>
            <w:r w:rsidRPr="00445B3C">
              <w:t>Решение об объявлении и выплате дивидендов, в том числе о размере дивидендов и порядке их выплаты, принимается общим собранием акционеров Общества. Размер дивидендов объявляется в белорусских рублях на одну акцию. Дивиденды объявляются без учета удерживаемых налогов. Список акционеров, имеющих право на получение дивидендов, составляется на основании данных того же реестра владельцев ценных бумаг – акций Общества, на основании которого был составлен список лиц, имеющих право на участие в общем собрании акционеров, принявшем решение о выплате соответствующих дивидендов. Дивиденды выплачиваются по размещенным акциям Общества</w:t>
            </w:r>
            <w:r w:rsidR="00C31A8F">
              <w:t>. Ч</w:t>
            </w:r>
            <w:r w:rsidR="00C31A8F" w:rsidRPr="00C31A8F">
              <w:t>асть прибыли, остающаяся в распоряжении Общества после уплаты налогов и иных обязательных платежей и покрытия убытков текущих периодов, образовавшихся по вине Общества,</w:t>
            </w:r>
            <w:r w:rsidR="00C31A8F">
              <w:rPr>
                <w:sz w:val="28"/>
                <w:szCs w:val="28"/>
              </w:rPr>
              <w:t xml:space="preserve"> </w:t>
            </w:r>
            <w:r w:rsidRPr="00C31A8F">
              <w:t>направляе</w:t>
            </w:r>
            <w:r w:rsidR="00C31A8F">
              <w:t>тс</w:t>
            </w:r>
            <w:r w:rsidRPr="00C31A8F">
              <w:t>я</w:t>
            </w:r>
            <w:r w:rsidRPr="00445B3C">
              <w:t xml:space="preserve"> на выплату дивидендов, распределяе</w:t>
            </w:r>
            <w:r w:rsidR="00C31A8F">
              <w:t>тс</w:t>
            </w:r>
            <w:r w:rsidRPr="00445B3C">
              <w:t xml:space="preserve">я между акционерами пропорционально числу принадлежащих им акций. Дивиденды начисляются в белорусских рублях. </w:t>
            </w:r>
          </w:p>
          <w:p w:rsidR="00B65C10" w:rsidRDefault="00445B3C" w:rsidP="00445B3C">
            <w:pPr>
              <w:tabs>
                <w:tab w:val="left" w:pos="3630"/>
              </w:tabs>
              <w:jc w:val="both"/>
            </w:pPr>
            <w:r w:rsidRPr="00445B3C">
              <w:t>Дивиденды выплачиваются юридическим лицам в безналичной форме, физическим лицам – наличными денежными средствами либо в безналичной форме. Дивиденды выплачиваются за вычетом соответствующих налогов</w:t>
            </w:r>
            <w:r>
              <w:t>.</w:t>
            </w:r>
          </w:p>
        </w:tc>
      </w:tr>
      <w:tr w:rsidR="00B65C10" w:rsidTr="00D763BD">
        <w:tc>
          <w:tcPr>
            <w:tcW w:w="4968" w:type="dxa"/>
            <w:shd w:val="clear" w:color="auto" w:fill="auto"/>
          </w:tcPr>
          <w:p w:rsidR="00B65C10" w:rsidRPr="00664D97" w:rsidRDefault="00B65C10" w:rsidP="00B04B3B">
            <w:pPr>
              <w:jc w:val="both"/>
            </w:pPr>
            <w:r w:rsidRPr="00664D97">
              <w:t>Вид вклада (неденежный, денежный)</w:t>
            </w:r>
          </w:p>
          <w:p w:rsidR="00B65C10" w:rsidRPr="00664D97" w:rsidRDefault="00B65C10" w:rsidP="00263C42">
            <w:pPr>
              <w:pStyle w:val="newncpi"/>
              <w:ind w:firstLine="0"/>
            </w:pPr>
          </w:p>
        </w:tc>
        <w:tc>
          <w:tcPr>
            <w:tcW w:w="5580" w:type="dxa"/>
            <w:shd w:val="clear" w:color="auto" w:fill="auto"/>
          </w:tcPr>
          <w:p w:rsidR="00B65C10" w:rsidRDefault="00AE567E" w:rsidP="00263C42">
            <w:pPr>
              <w:tabs>
                <w:tab w:val="left" w:pos="3630"/>
              </w:tabs>
              <w:jc w:val="both"/>
            </w:pPr>
            <w:r>
              <w:t>денежный</w:t>
            </w:r>
          </w:p>
        </w:tc>
      </w:tr>
      <w:tr w:rsidR="00B65C10" w:rsidTr="00D763BD">
        <w:tc>
          <w:tcPr>
            <w:tcW w:w="4968" w:type="dxa"/>
            <w:shd w:val="clear" w:color="auto" w:fill="auto"/>
          </w:tcPr>
          <w:p w:rsidR="00B65C10" w:rsidRPr="00664D97" w:rsidRDefault="00B65C10" w:rsidP="00263C42">
            <w:pPr>
              <w:pStyle w:val="newncpi"/>
              <w:ind w:firstLine="0"/>
            </w:pPr>
            <w:r w:rsidRPr="00664D97">
              <w:t xml:space="preserve">Права акционеров, удостоверяемых акциями соответствующей категории, соответствующего типа привилегированных акций, в том числе о наличии (отсутствии) преимущественного права акционеров на приобретение акций дополнительного выпуска и сроки реализации этого права, о </w:t>
            </w:r>
            <w:r w:rsidRPr="00664D97">
              <w:lastRenderedPageBreak/>
              <w:t xml:space="preserve">фиксированном размере дивиденда или о порядке его определения, о фиксированной стоимости имущества, подлежащего передаче владельцу привилегированной акции в случае ликвидации акционерного общества, либо о порядке ее определения, об очередности выплаты дивидендов по каждому типу привилегированных акций, распределения имущества между акционерами в случае ликвидации акционерного общества </w:t>
            </w:r>
          </w:p>
          <w:p w:rsidR="00B65C10" w:rsidRPr="00664D97" w:rsidRDefault="00B65C10" w:rsidP="00B65C10">
            <w:pPr>
              <w:pStyle w:val="newncpi"/>
            </w:pPr>
          </w:p>
        </w:tc>
        <w:tc>
          <w:tcPr>
            <w:tcW w:w="5580" w:type="dxa"/>
            <w:shd w:val="clear" w:color="auto" w:fill="auto"/>
          </w:tcPr>
          <w:p w:rsidR="00246655" w:rsidRPr="00246655" w:rsidRDefault="00246655" w:rsidP="004F2ABC">
            <w:pPr>
              <w:tabs>
                <w:tab w:val="left" w:pos="3630"/>
              </w:tabs>
              <w:jc w:val="both"/>
            </w:pPr>
            <w:bookmarkStart w:id="0" w:name="_GoBack"/>
            <w:r w:rsidRPr="00246655">
              <w:lastRenderedPageBreak/>
              <w:t>Акционеры Общества вправе:</w:t>
            </w:r>
          </w:p>
          <w:bookmarkEnd w:id="0"/>
          <w:p w:rsidR="004F2ABC" w:rsidRPr="004F2ABC" w:rsidRDefault="004F2ABC" w:rsidP="004F2ABC">
            <w:pPr>
              <w:tabs>
                <w:tab w:val="left" w:pos="3630"/>
              </w:tabs>
              <w:jc w:val="both"/>
            </w:pPr>
            <w:r w:rsidRPr="004F2ABC">
              <w:t>участвовать в общем собрании акционеров с правом голоса по вопросам, относящимся к компетенции общего собрания акционеров;</w:t>
            </w:r>
          </w:p>
          <w:p w:rsidR="004F2ABC" w:rsidRPr="004F2ABC" w:rsidRDefault="004F2ABC" w:rsidP="004F2ABC">
            <w:pPr>
              <w:tabs>
                <w:tab w:val="left" w:pos="3630"/>
              </w:tabs>
              <w:jc w:val="both"/>
            </w:pPr>
            <w:r w:rsidRPr="004F2ABC">
              <w:t>получать часть прибыли Общества в виде дивидендов;</w:t>
            </w:r>
          </w:p>
          <w:p w:rsidR="004F2ABC" w:rsidRPr="004F2ABC" w:rsidRDefault="004F2ABC" w:rsidP="004F2ABC">
            <w:pPr>
              <w:tabs>
                <w:tab w:val="left" w:pos="3630"/>
              </w:tabs>
              <w:jc w:val="both"/>
            </w:pPr>
            <w:r w:rsidRPr="004F2ABC">
              <w:t xml:space="preserve">получать в случае ликвидации Общества часть </w:t>
            </w:r>
            <w:r w:rsidRPr="004F2ABC">
              <w:lastRenderedPageBreak/>
              <w:t>имущества, оставшегося после расчетов с кредиторами, или его стоимость;</w:t>
            </w:r>
          </w:p>
          <w:p w:rsidR="004F2ABC" w:rsidRPr="004F2ABC" w:rsidRDefault="004F2ABC" w:rsidP="004F2ABC">
            <w:pPr>
              <w:tabs>
                <w:tab w:val="left" w:pos="3630"/>
              </w:tabs>
              <w:jc w:val="both"/>
            </w:pPr>
            <w:r w:rsidRPr="004F2ABC">
              <w:t xml:space="preserve">получать информацию о деятельности Общества и знакомиться с его документацией в объеме и порядке, </w:t>
            </w:r>
            <w:proofErr w:type="gramStart"/>
            <w:r w:rsidRPr="004F2ABC">
              <w:t>определенных</w:t>
            </w:r>
            <w:proofErr w:type="gramEnd"/>
            <w:r w:rsidRPr="004F2ABC">
              <w:t xml:space="preserve"> </w:t>
            </w:r>
            <w:hyperlink w:anchor="a73" w:tooltip="+" w:history="1">
              <w:r w:rsidRPr="004F2ABC">
                <w:t>пунктом 86</w:t>
              </w:r>
            </w:hyperlink>
            <w:r w:rsidRPr="004F2ABC">
              <w:t xml:space="preserve"> настоящего устава;</w:t>
            </w:r>
          </w:p>
          <w:p w:rsidR="004F2ABC" w:rsidRDefault="004F2ABC" w:rsidP="004F2ABC">
            <w:pPr>
              <w:tabs>
                <w:tab w:val="left" w:pos="3630"/>
              </w:tabs>
              <w:jc w:val="both"/>
            </w:pPr>
            <w:r w:rsidRPr="004F2ABC">
              <w:t>передавать свои полномочия по участию в управлении деятельностью Общества иным лицам путем выдачи доверенности либо заключения договора в порядке, установленном законодательными актами</w:t>
            </w:r>
            <w:r w:rsidRPr="003941DF">
              <w:rPr>
                <w:sz w:val="28"/>
                <w:szCs w:val="28"/>
              </w:rPr>
              <w:t>.</w:t>
            </w:r>
          </w:p>
          <w:p w:rsidR="004F2ABC" w:rsidRDefault="004F2ABC" w:rsidP="00263C42">
            <w:pPr>
              <w:tabs>
                <w:tab w:val="left" w:pos="3630"/>
              </w:tabs>
              <w:jc w:val="both"/>
            </w:pPr>
          </w:p>
          <w:p w:rsidR="00B65C10" w:rsidRDefault="00AE567E" w:rsidP="00246655">
            <w:pPr>
              <w:tabs>
                <w:tab w:val="left" w:pos="3630"/>
              </w:tabs>
              <w:jc w:val="both"/>
            </w:pPr>
            <w:r w:rsidRPr="00AE567E">
              <w:t>Преимущественное право акционерам, владеющим простыми (обыкновенными) акциями, на приобретение дополнительного выпуска акций не предоставляется</w:t>
            </w:r>
            <w:r w:rsidR="00246655">
              <w:t>.</w:t>
            </w:r>
          </w:p>
        </w:tc>
      </w:tr>
      <w:tr w:rsidR="00B65C10" w:rsidTr="00D763BD">
        <w:tc>
          <w:tcPr>
            <w:tcW w:w="4968" w:type="dxa"/>
            <w:shd w:val="clear" w:color="auto" w:fill="auto"/>
          </w:tcPr>
          <w:p w:rsidR="00B65C10" w:rsidRPr="00664D97" w:rsidRDefault="00B65C10" w:rsidP="00754B79">
            <w:pPr>
              <w:pStyle w:val="newncpi"/>
              <w:ind w:firstLine="0"/>
            </w:pPr>
            <w:r w:rsidRPr="00664D97">
              <w:lastRenderedPageBreak/>
              <w:t xml:space="preserve">Способ размещения акций </w:t>
            </w:r>
          </w:p>
          <w:p w:rsidR="00B65C10" w:rsidRPr="00664D97" w:rsidRDefault="00B65C10" w:rsidP="00263C42">
            <w:pPr>
              <w:pStyle w:val="newncpi"/>
              <w:ind w:firstLine="0"/>
            </w:pPr>
          </w:p>
        </w:tc>
        <w:tc>
          <w:tcPr>
            <w:tcW w:w="5580" w:type="dxa"/>
            <w:shd w:val="clear" w:color="auto" w:fill="auto"/>
          </w:tcPr>
          <w:p w:rsidR="00B65C10" w:rsidRDefault="00B65C10" w:rsidP="00AE567E">
            <w:pPr>
              <w:tabs>
                <w:tab w:val="left" w:pos="3630"/>
              </w:tabs>
              <w:jc w:val="both"/>
            </w:pPr>
            <w:r>
              <w:t>Закрытая подписка</w:t>
            </w:r>
          </w:p>
        </w:tc>
      </w:tr>
      <w:tr w:rsidR="00B65C10" w:rsidTr="00D763BD">
        <w:tc>
          <w:tcPr>
            <w:tcW w:w="4968" w:type="dxa"/>
            <w:shd w:val="clear" w:color="auto" w:fill="auto"/>
          </w:tcPr>
          <w:p w:rsidR="00B65C10" w:rsidRPr="00664D97" w:rsidRDefault="00B65C10" w:rsidP="00263C42">
            <w:pPr>
              <w:pStyle w:val="newncpi"/>
              <w:ind w:firstLine="0"/>
            </w:pPr>
            <w:r w:rsidRPr="00664D97">
              <w:t>Место, дата и время проведения подписки на акции</w:t>
            </w:r>
          </w:p>
          <w:p w:rsidR="00B65C10" w:rsidRPr="00664D97" w:rsidRDefault="00B65C10" w:rsidP="00263C42">
            <w:pPr>
              <w:pStyle w:val="newncpi"/>
              <w:ind w:firstLine="0"/>
            </w:pPr>
          </w:p>
        </w:tc>
        <w:tc>
          <w:tcPr>
            <w:tcW w:w="5580" w:type="dxa"/>
            <w:shd w:val="clear" w:color="auto" w:fill="auto"/>
          </w:tcPr>
          <w:p w:rsidR="00B65C10" w:rsidRDefault="00AE567E" w:rsidP="00263C42">
            <w:pPr>
              <w:tabs>
                <w:tab w:val="left" w:pos="3630"/>
              </w:tabs>
              <w:jc w:val="both"/>
            </w:pPr>
            <w:r w:rsidRPr="00AE567E">
              <w:t xml:space="preserve"> место проведения подписки: Республика Беларусь. Витебская область, Поставский район, аг.Курополье, ул.Октябрьская, 42 (кабинет юрисконсульта), время подписки 8-00 до 12-00 часов, с 13-00 до 17-00 часов в рабочие дни</w:t>
            </w:r>
          </w:p>
        </w:tc>
      </w:tr>
      <w:tr w:rsidR="00B65C10" w:rsidTr="00D763BD">
        <w:tc>
          <w:tcPr>
            <w:tcW w:w="4968" w:type="dxa"/>
            <w:shd w:val="clear" w:color="auto" w:fill="auto"/>
          </w:tcPr>
          <w:p w:rsidR="00B65C10" w:rsidRPr="00664D97" w:rsidRDefault="00B65C10" w:rsidP="00263C42">
            <w:pPr>
              <w:tabs>
                <w:tab w:val="left" w:pos="3630"/>
              </w:tabs>
              <w:jc w:val="both"/>
            </w:pPr>
            <w:r w:rsidRPr="00664D97">
              <w:t>Период проведения подписки на акции (указываются даты начала и окончания либо порядок определения такой даты)</w:t>
            </w:r>
          </w:p>
        </w:tc>
        <w:tc>
          <w:tcPr>
            <w:tcW w:w="5580" w:type="dxa"/>
            <w:shd w:val="clear" w:color="auto" w:fill="auto"/>
          </w:tcPr>
          <w:p w:rsidR="00B65C10" w:rsidRDefault="00AE567E" w:rsidP="00263C42">
            <w:pPr>
              <w:tabs>
                <w:tab w:val="left" w:pos="3630"/>
              </w:tabs>
              <w:jc w:val="both"/>
            </w:pPr>
            <w:r w:rsidRPr="00AE567E">
              <w:t>Подписка проводится с 05.09.2024 по 11.09.2024 включительно</w:t>
            </w:r>
          </w:p>
        </w:tc>
      </w:tr>
      <w:tr w:rsidR="00B65C10" w:rsidTr="00D763BD">
        <w:tc>
          <w:tcPr>
            <w:tcW w:w="4968" w:type="dxa"/>
            <w:shd w:val="clear" w:color="auto" w:fill="auto"/>
          </w:tcPr>
          <w:p w:rsidR="00B65C10" w:rsidRPr="00664D97" w:rsidRDefault="00B65C10" w:rsidP="00263C42">
            <w:pPr>
              <w:tabs>
                <w:tab w:val="left" w:pos="3630"/>
              </w:tabs>
              <w:jc w:val="both"/>
            </w:pPr>
            <w:r w:rsidRPr="00664D97">
              <w:t>Период сбора предложений (заявок) от лиц, намеревающихся приобрести дополнительно выпускаемые акции (указываются даты начала и окончания периода сбора предложений)</w:t>
            </w:r>
          </w:p>
        </w:tc>
        <w:tc>
          <w:tcPr>
            <w:tcW w:w="5580" w:type="dxa"/>
            <w:shd w:val="clear" w:color="auto" w:fill="auto"/>
          </w:tcPr>
          <w:p w:rsidR="00B65C10" w:rsidRDefault="004F2ABC" w:rsidP="004F2ABC">
            <w:pPr>
              <w:tabs>
                <w:tab w:val="left" w:pos="3630"/>
              </w:tabs>
              <w:jc w:val="center"/>
            </w:pPr>
            <w:r>
              <w:t>-</w:t>
            </w:r>
          </w:p>
        </w:tc>
      </w:tr>
      <w:tr w:rsidR="00B65C10" w:rsidTr="00D763BD">
        <w:tc>
          <w:tcPr>
            <w:tcW w:w="4968" w:type="dxa"/>
            <w:shd w:val="clear" w:color="auto" w:fill="auto"/>
          </w:tcPr>
          <w:p w:rsidR="00D763BD" w:rsidRPr="00664D97" w:rsidRDefault="00B65C10" w:rsidP="00D763BD">
            <w:pPr>
              <w:pStyle w:val="newncpi"/>
              <w:ind w:firstLine="0"/>
            </w:pPr>
            <w:r w:rsidRPr="00664D97">
              <w:t xml:space="preserve">Порядок действий эмитента в случае превышения либо недостижения планируемого объема </w:t>
            </w:r>
            <w:r w:rsidR="00D763BD" w:rsidRPr="00664D97">
              <w:t>дополнительного выпуска акций</w:t>
            </w:r>
            <w:r w:rsidRPr="00664D97">
              <w:t xml:space="preserve">, а также порядок (условия) заключения договоров в случае, если по итогам осуществления сбора предложений (заявок) от лиц, намеревающихся приобрести дополнительно выпускаемые акции, общее количество акций, указанное в поступивших предложениях (заявках), превышает планируемый объем </w:t>
            </w:r>
            <w:r w:rsidR="00D763BD" w:rsidRPr="00664D97">
              <w:t xml:space="preserve">дополнительного выпуска акций </w:t>
            </w:r>
          </w:p>
          <w:p w:rsidR="00CC6710" w:rsidRPr="00664D97" w:rsidRDefault="00CC6710" w:rsidP="00263C42">
            <w:pPr>
              <w:tabs>
                <w:tab w:val="left" w:pos="3630"/>
              </w:tabs>
              <w:jc w:val="both"/>
            </w:pPr>
          </w:p>
        </w:tc>
        <w:tc>
          <w:tcPr>
            <w:tcW w:w="5580" w:type="dxa"/>
            <w:shd w:val="clear" w:color="auto" w:fill="auto"/>
          </w:tcPr>
          <w:p w:rsidR="00B65C10" w:rsidRDefault="00AE567E" w:rsidP="00445B3C">
            <w:pPr>
              <w:tabs>
                <w:tab w:val="left" w:pos="3630"/>
              </w:tabs>
              <w:jc w:val="both"/>
            </w:pPr>
            <w:r w:rsidRPr="00445B3C">
              <w:t xml:space="preserve">Превышение планируемого объема дополнительного выпуска акций не допускается. При </w:t>
            </w:r>
            <w:proofErr w:type="gramStart"/>
            <w:r w:rsidRPr="00445B3C">
              <w:t>не достижении</w:t>
            </w:r>
            <w:proofErr w:type="gramEnd"/>
            <w:r w:rsidRPr="00445B3C">
              <w:t xml:space="preserve"> планируемого объема выпуска акций подписка признается состоявшейся в сумме фактически внесенного денежного вклада.</w:t>
            </w:r>
          </w:p>
        </w:tc>
      </w:tr>
      <w:tr w:rsidR="00B65C10" w:rsidTr="00D763BD">
        <w:tc>
          <w:tcPr>
            <w:tcW w:w="4968" w:type="dxa"/>
            <w:shd w:val="clear" w:color="auto" w:fill="auto"/>
          </w:tcPr>
          <w:p w:rsidR="00B65C10" w:rsidRPr="00664D97" w:rsidRDefault="00B65C10" w:rsidP="00263C42">
            <w:pPr>
              <w:tabs>
                <w:tab w:val="left" w:pos="3630"/>
              </w:tabs>
              <w:jc w:val="both"/>
            </w:pPr>
            <w:r w:rsidRPr="00664D97">
              <w:t>Условия отказа от заключения договора</w:t>
            </w:r>
          </w:p>
        </w:tc>
        <w:tc>
          <w:tcPr>
            <w:tcW w:w="5580" w:type="dxa"/>
            <w:shd w:val="clear" w:color="auto" w:fill="auto"/>
          </w:tcPr>
          <w:p w:rsidR="00AE567E" w:rsidRPr="00445B3C" w:rsidRDefault="00AE567E" w:rsidP="00445B3C">
            <w:pPr>
              <w:tabs>
                <w:tab w:val="left" w:pos="3630"/>
              </w:tabs>
              <w:jc w:val="both"/>
            </w:pPr>
            <w:r w:rsidRPr="00445B3C">
              <w:t>лицо, обратившееся за заключением договора подписки, не включено в перечень лиц, среди которых размещаются акции дополнительного выпуска;</w:t>
            </w:r>
          </w:p>
          <w:p w:rsidR="00AE567E" w:rsidRPr="00445B3C" w:rsidRDefault="00AE567E" w:rsidP="00445B3C">
            <w:pPr>
              <w:tabs>
                <w:tab w:val="left" w:pos="3630"/>
              </w:tabs>
              <w:jc w:val="both"/>
            </w:pPr>
            <w:r w:rsidRPr="00445B3C">
              <w:t>Обществом заключены договоры подписки на все количество акций, размещаемых путем проведения закрытой подписки;</w:t>
            </w:r>
          </w:p>
          <w:p w:rsidR="00AE567E" w:rsidRPr="00445B3C" w:rsidRDefault="00AE567E" w:rsidP="00445B3C">
            <w:pPr>
              <w:tabs>
                <w:tab w:val="left" w:pos="3630"/>
              </w:tabs>
              <w:jc w:val="both"/>
            </w:pPr>
            <w:r w:rsidRPr="00445B3C">
              <w:t>истек срок проведения подписки;</w:t>
            </w:r>
          </w:p>
          <w:p w:rsidR="00AE567E" w:rsidRPr="00445B3C" w:rsidRDefault="00AE567E" w:rsidP="00445B3C">
            <w:pPr>
              <w:tabs>
                <w:tab w:val="left" w:pos="3630"/>
              </w:tabs>
              <w:jc w:val="both"/>
            </w:pPr>
            <w:r w:rsidRPr="00445B3C">
              <w:t>эмиссия акций дополнительного выпуска приостановлена или запрещена;</w:t>
            </w:r>
          </w:p>
          <w:p w:rsidR="00B65C10" w:rsidRDefault="00AE567E" w:rsidP="00AE567E">
            <w:pPr>
              <w:tabs>
                <w:tab w:val="left" w:pos="3630"/>
              </w:tabs>
              <w:jc w:val="both"/>
            </w:pPr>
            <w:r w:rsidRPr="00445B3C">
              <w:t>имеются иные условия, предусмотренные действующим законодательством, Уставом Общества, иными нормативными правовыми актами</w:t>
            </w:r>
          </w:p>
        </w:tc>
      </w:tr>
      <w:tr w:rsidR="00D763BD" w:rsidTr="00D763BD">
        <w:tc>
          <w:tcPr>
            <w:tcW w:w="4968" w:type="dxa"/>
            <w:shd w:val="clear" w:color="auto" w:fill="auto"/>
          </w:tcPr>
          <w:p w:rsidR="00D763BD" w:rsidRPr="00664D97" w:rsidRDefault="00D763BD" w:rsidP="00D763BD">
            <w:pPr>
              <w:pStyle w:val="newncpi"/>
              <w:ind w:firstLine="0"/>
            </w:pPr>
            <w:r w:rsidRPr="00664D97">
              <w:lastRenderedPageBreak/>
              <w:t>Условия досрочного прекращения провед</w:t>
            </w:r>
            <w:r w:rsidR="004B6832" w:rsidRPr="00664D97">
              <w:t>ения закрытой подписки на акции</w:t>
            </w:r>
          </w:p>
          <w:p w:rsidR="00D763BD" w:rsidRPr="00664D97" w:rsidRDefault="00D763BD" w:rsidP="00263C42">
            <w:pPr>
              <w:tabs>
                <w:tab w:val="left" w:pos="3630"/>
              </w:tabs>
              <w:jc w:val="both"/>
            </w:pPr>
          </w:p>
        </w:tc>
        <w:tc>
          <w:tcPr>
            <w:tcW w:w="5580" w:type="dxa"/>
            <w:shd w:val="clear" w:color="auto" w:fill="auto"/>
          </w:tcPr>
          <w:p w:rsidR="00D763BD" w:rsidRPr="00445B3C" w:rsidRDefault="00AE567E" w:rsidP="00445B3C">
            <w:pPr>
              <w:tabs>
                <w:tab w:val="left" w:pos="3630"/>
              </w:tabs>
              <w:jc w:val="both"/>
            </w:pPr>
            <w:r w:rsidRPr="00445B3C">
              <w:t>Подписка прекращается досрочно, в случае если объем дополнительного выпуска акций в ходе подписки достигнут.</w:t>
            </w:r>
          </w:p>
        </w:tc>
      </w:tr>
      <w:tr w:rsidR="00B65C10" w:rsidTr="00D763BD">
        <w:tc>
          <w:tcPr>
            <w:tcW w:w="4968" w:type="dxa"/>
            <w:shd w:val="clear" w:color="auto" w:fill="auto"/>
          </w:tcPr>
          <w:p w:rsidR="00B65C10" w:rsidRPr="00664D97" w:rsidRDefault="004B6832" w:rsidP="004B6832">
            <w:pPr>
              <w:pStyle w:val="newncpi"/>
              <w:ind w:firstLine="0"/>
            </w:pPr>
            <w:r w:rsidRPr="00664D97">
              <w:t xml:space="preserve">Основания, по которым эмиссия акций может быть признана несостоявшейся, с указанием доли неразмещенных акций, при которой эмиссия эмиссионных ценных бумаг считается несостоявшейся </w:t>
            </w:r>
          </w:p>
        </w:tc>
        <w:tc>
          <w:tcPr>
            <w:tcW w:w="5580" w:type="dxa"/>
            <w:shd w:val="clear" w:color="auto" w:fill="auto"/>
          </w:tcPr>
          <w:p w:rsidR="00B65C10" w:rsidRDefault="00AE567E" w:rsidP="00445B3C">
            <w:pPr>
              <w:tabs>
                <w:tab w:val="left" w:pos="3630"/>
              </w:tabs>
              <w:jc w:val="both"/>
            </w:pPr>
            <w:r w:rsidRPr="00445B3C">
              <w:t>Подписка может быть признана несостоявшейся при нарушении условий ее проведения и отсутствии заключенного договора на дату окончания подписки</w:t>
            </w:r>
          </w:p>
        </w:tc>
      </w:tr>
      <w:tr w:rsidR="00B65C10" w:rsidTr="00D763BD">
        <w:tc>
          <w:tcPr>
            <w:tcW w:w="4968" w:type="dxa"/>
            <w:shd w:val="clear" w:color="auto" w:fill="auto"/>
          </w:tcPr>
          <w:p w:rsidR="00B65C10" w:rsidRPr="00664D97" w:rsidRDefault="00B65C10" w:rsidP="00B65C10">
            <w:pPr>
              <w:pStyle w:val="newncpi"/>
              <w:ind w:firstLine="0"/>
            </w:pPr>
            <w:r w:rsidRPr="00664D97">
              <w:t>Условия и порядок возврата средств инвесторам в случае признания дополнительного выпуска акций недействительным или эмиссии акций несостоявшейся, а также в случае запрещения эмиссии</w:t>
            </w:r>
          </w:p>
          <w:p w:rsidR="00B65C10" w:rsidRPr="00664D97" w:rsidRDefault="00B65C10" w:rsidP="00263C42">
            <w:pPr>
              <w:tabs>
                <w:tab w:val="left" w:pos="3630"/>
              </w:tabs>
              <w:jc w:val="both"/>
            </w:pPr>
          </w:p>
        </w:tc>
        <w:tc>
          <w:tcPr>
            <w:tcW w:w="5580" w:type="dxa"/>
            <w:shd w:val="clear" w:color="auto" w:fill="auto"/>
          </w:tcPr>
          <w:p w:rsidR="00B65C10" w:rsidRDefault="00445B3C" w:rsidP="00263C42">
            <w:pPr>
              <w:tabs>
                <w:tab w:val="left" w:pos="3630"/>
              </w:tabs>
              <w:jc w:val="both"/>
            </w:pPr>
            <w:proofErr w:type="gramStart"/>
            <w:r w:rsidRPr="00445B3C">
              <w:t>В случае признания дополнительного выпуска акций недействительным, если он осуществлен с нарушением порядка эмиссии или признания закрытой подписки на акции Общества несостоявшейся, Общество возвращает денежный вклад, внесенный во время подписки, не позднее одного месяца от даты проведения общего собрания акционеров, на котором утверждались результаты подписки.</w:t>
            </w:r>
            <w:proofErr w:type="gramEnd"/>
            <w:r w:rsidRPr="00445B3C">
              <w:t xml:space="preserve"> </w:t>
            </w:r>
            <w:proofErr w:type="gramStart"/>
            <w:r w:rsidRPr="00445B3C">
              <w:t>Возврат денежных средств осуществляется в том же порядке и в той же форме, в которых этими денежными средствами оплачивались акции</w:t>
            </w:r>
            <w:proofErr w:type="gramEnd"/>
          </w:p>
        </w:tc>
      </w:tr>
    </w:tbl>
    <w:p w:rsidR="00922196" w:rsidRDefault="00922196" w:rsidP="00111125">
      <w:pPr>
        <w:tabs>
          <w:tab w:val="left" w:pos="3630"/>
        </w:tabs>
        <w:jc w:val="both"/>
        <w:rPr>
          <w:color w:val="000000"/>
          <w:shd w:val="clear" w:color="auto" w:fill="FFFFFF"/>
        </w:rPr>
      </w:pPr>
    </w:p>
    <w:p w:rsidR="00922196" w:rsidRDefault="00922196" w:rsidP="00111125">
      <w:pPr>
        <w:tabs>
          <w:tab w:val="left" w:pos="3630"/>
        </w:tabs>
        <w:jc w:val="both"/>
        <w:rPr>
          <w:color w:val="000000"/>
          <w:shd w:val="clear" w:color="auto" w:fill="FFFFFF"/>
        </w:rPr>
      </w:pPr>
    </w:p>
    <w:sectPr w:rsidR="00922196" w:rsidSect="00B03790">
      <w:pgSz w:w="11906" w:h="16838"/>
      <w:pgMar w:top="340" w:right="340" w:bottom="34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111125"/>
    <w:rsid w:val="000023F5"/>
    <w:rsid w:val="00032595"/>
    <w:rsid w:val="000376A3"/>
    <w:rsid w:val="000660B0"/>
    <w:rsid w:val="00066795"/>
    <w:rsid w:val="000972EA"/>
    <w:rsid w:val="000D7DDC"/>
    <w:rsid w:val="000E5DEA"/>
    <w:rsid w:val="000E68C5"/>
    <w:rsid w:val="00103859"/>
    <w:rsid w:val="00111125"/>
    <w:rsid w:val="00167948"/>
    <w:rsid w:val="001D2DB0"/>
    <w:rsid w:val="00215572"/>
    <w:rsid w:val="002158C9"/>
    <w:rsid w:val="00224F25"/>
    <w:rsid w:val="00246655"/>
    <w:rsid w:val="00263C42"/>
    <w:rsid w:val="0027336F"/>
    <w:rsid w:val="00275AA2"/>
    <w:rsid w:val="00287A91"/>
    <w:rsid w:val="002E6555"/>
    <w:rsid w:val="002F1021"/>
    <w:rsid w:val="00335B0C"/>
    <w:rsid w:val="00337316"/>
    <w:rsid w:val="003374FF"/>
    <w:rsid w:val="00352059"/>
    <w:rsid w:val="003846FF"/>
    <w:rsid w:val="003B714A"/>
    <w:rsid w:val="003F0014"/>
    <w:rsid w:val="004052C2"/>
    <w:rsid w:val="004124A7"/>
    <w:rsid w:val="00445B3C"/>
    <w:rsid w:val="0044777B"/>
    <w:rsid w:val="00474C20"/>
    <w:rsid w:val="004B2606"/>
    <w:rsid w:val="004B3FA2"/>
    <w:rsid w:val="004B6832"/>
    <w:rsid w:val="004C48B4"/>
    <w:rsid w:val="004D650D"/>
    <w:rsid w:val="004D7EFA"/>
    <w:rsid w:val="004F2ABC"/>
    <w:rsid w:val="00500A37"/>
    <w:rsid w:val="005D34D5"/>
    <w:rsid w:val="005F287C"/>
    <w:rsid w:val="00633C23"/>
    <w:rsid w:val="00653AD1"/>
    <w:rsid w:val="00664D97"/>
    <w:rsid w:val="006903C8"/>
    <w:rsid w:val="006C63E0"/>
    <w:rsid w:val="006D3920"/>
    <w:rsid w:val="006F7D9F"/>
    <w:rsid w:val="00754B79"/>
    <w:rsid w:val="007669AF"/>
    <w:rsid w:val="007B5827"/>
    <w:rsid w:val="007B5CA3"/>
    <w:rsid w:val="007D6B46"/>
    <w:rsid w:val="007F45A3"/>
    <w:rsid w:val="008056F4"/>
    <w:rsid w:val="00806B47"/>
    <w:rsid w:val="00845D9D"/>
    <w:rsid w:val="00895D0B"/>
    <w:rsid w:val="008B1123"/>
    <w:rsid w:val="008D2575"/>
    <w:rsid w:val="008E556C"/>
    <w:rsid w:val="008F4724"/>
    <w:rsid w:val="008F4F80"/>
    <w:rsid w:val="00922196"/>
    <w:rsid w:val="00925F1B"/>
    <w:rsid w:val="009B4D0D"/>
    <w:rsid w:val="009B6CFA"/>
    <w:rsid w:val="009D111C"/>
    <w:rsid w:val="00A35EB3"/>
    <w:rsid w:val="00A52D6B"/>
    <w:rsid w:val="00A62239"/>
    <w:rsid w:val="00AD52D6"/>
    <w:rsid w:val="00AE567E"/>
    <w:rsid w:val="00AF06FB"/>
    <w:rsid w:val="00AF73FD"/>
    <w:rsid w:val="00B03790"/>
    <w:rsid w:val="00B04B3B"/>
    <w:rsid w:val="00B10741"/>
    <w:rsid w:val="00B12EB5"/>
    <w:rsid w:val="00B501C9"/>
    <w:rsid w:val="00B65C10"/>
    <w:rsid w:val="00B67030"/>
    <w:rsid w:val="00BF1D95"/>
    <w:rsid w:val="00BF7F4D"/>
    <w:rsid w:val="00C31A8F"/>
    <w:rsid w:val="00CA395E"/>
    <w:rsid w:val="00CB4B7A"/>
    <w:rsid w:val="00CC6710"/>
    <w:rsid w:val="00CD5355"/>
    <w:rsid w:val="00D17578"/>
    <w:rsid w:val="00D22691"/>
    <w:rsid w:val="00D47BC0"/>
    <w:rsid w:val="00D763BD"/>
    <w:rsid w:val="00D9099C"/>
    <w:rsid w:val="00DA777E"/>
    <w:rsid w:val="00DD6B0D"/>
    <w:rsid w:val="00E21749"/>
    <w:rsid w:val="00E2365C"/>
    <w:rsid w:val="00E67815"/>
    <w:rsid w:val="00E769B7"/>
    <w:rsid w:val="00E81E43"/>
    <w:rsid w:val="00EC6AC1"/>
    <w:rsid w:val="00EC74E6"/>
    <w:rsid w:val="00ED3847"/>
    <w:rsid w:val="00F24BDE"/>
    <w:rsid w:val="00F333A4"/>
    <w:rsid w:val="00F66DC9"/>
    <w:rsid w:val="00FA75EF"/>
    <w:rsid w:val="00FE353E"/>
    <w:rsid w:val="00FF62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1112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111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oint">
    <w:name w:val="point"/>
    <w:basedOn w:val="a"/>
    <w:rsid w:val="00BF7F4D"/>
    <w:pPr>
      <w:ind w:firstLine="567"/>
      <w:jc w:val="both"/>
    </w:pPr>
  </w:style>
  <w:style w:type="paragraph" w:customStyle="1" w:styleId="newncpi">
    <w:name w:val="newncpi"/>
    <w:basedOn w:val="a"/>
    <w:rsid w:val="008F4724"/>
    <w:pPr>
      <w:ind w:firstLine="567"/>
      <w:jc w:val="both"/>
    </w:pPr>
  </w:style>
  <w:style w:type="paragraph" w:styleId="a4">
    <w:name w:val="Normal (Web)"/>
    <w:basedOn w:val="a"/>
    <w:uiPriority w:val="99"/>
    <w:rsid w:val="00445B3C"/>
    <w:pPr>
      <w:spacing w:before="100" w:beforeAutospacing="1" w:after="119"/>
    </w:pPr>
  </w:style>
  <w:style w:type="character" w:styleId="a5">
    <w:name w:val="Hyperlink"/>
    <w:basedOn w:val="a0"/>
    <w:uiPriority w:val="99"/>
    <w:unhideWhenUsed/>
    <w:rsid w:val="004F2ABC"/>
    <w:rPr>
      <w:color w:val="0000FF"/>
      <w:u w:val="single"/>
    </w:rPr>
  </w:style>
  <w:style w:type="paragraph" w:customStyle="1" w:styleId="justify">
    <w:name w:val="justify"/>
    <w:basedOn w:val="a"/>
    <w:rsid w:val="004F2ABC"/>
    <w:pPr>
      <w:spacing w:after="160"/>
      <w:ind w:firstLine="567"/>
      <w:jc w:val="both"/>
    </w:pPr>
    <w:rPr>
      <w:rFonts w:ascii="Arial" w:eastAsiaTheme="minorEastAsia"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852946">
      <w:bodyDiv w:val="1"/>
      <w:marLeft w:val="0"/>
      <w:marRight w:val="0"/>
      <w:marTop w:val="0"/>
      <w:marBottom w:val="0"/>
      <w:divBdr>
        <w:top w:val="none" w:sz="0" w:space="0" w:color="auto"/>
        <w:left w:val="none" w:sz="0" w:space="0" w:color="auto"/>
        <w:bottom w:val="none" w:sz="0" w:space="0" w:color="auto"/>
        <w:right w:val="none" w:sz="0" w:space="0" w:color="auto"/>
      </w:divBdr>
    </w:div>
    <w:div w:id="141755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1006</Words>
  <Characters>5738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Информация</vt:lpstr>
    </vt:vector>
  </TitlesOfParts>
  <Company>RePack by SPecialiST</Company>
  <LinksUpToDate>false</LinksUpToDate>
  <CharactersWithSpaces>6731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dc:title>
  <dc:creator>Admin</dc:creator>
  <cp:lastModifiedBy>User</cp:lastModifiedBy>
  <cp:revision>7</cp:revision>
  <dcterms:created xsi:type="dcterms:W3CDTF">2023-08-16T17:57:00Z</dcterms:created>
  <dcterms:modified xsi:type="dcterms:W3CDTF">2024-09-10T09:53:00Z</dcterms:modified>
</cp:coreProperties>
</file>